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363F67" w:rsidRPr="00363F67">
        <w:rPr>
          <w:rFonts w:cs="Arial"/>
          <w:sz w:val="28"/>
          <w:szCs w:val="28"/>
        </w:rPr>
        <w:t>Winkelwürfel</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5"/>
      </w:tblGrid>
      <w:tr w:rsidR="00363F67" w:rsidTr="00363F67">
        <w:tc>
          <w:tcPr>
            <w:tcW w:w="2466" w:type="dxa"/>
            <w:tcBorders>
              <w:top w:val="single" w:sz="4" w:space="0" w:color="auto"/>
              <w:left w:val="single" w:sz="4" w:space="0" w:color="auto"/>
              <w:bottom w:val="dotted" w:sz="4" w:space="0" w:color="auto"/>
              <w:right w:val="dotted" w:sz="4" w:space="0" w:color="auto"/>
            </w:tcBorders>
            <w:vAlign w:val="center"/>
            <w:hideMark/>
          </w:tcPr>
          <w:p w:rsidR="00363F67" w:rsidRDefault="00363F67">
            <w:pPr>
              <w:pStyle w:val="IQB-Merkmal"/>
              <w:rPr>
                <w:rFonts w:cs="Arial"/>
              </w:rPr>
            </w:pPr>
            <w:r>
              <w:rPr>
                <w:rFonts w:cs="Arial"/>
              </w:rPr>
              <w:t>Leitidee</w:t>
            </w:r>
          </w:p>
        </w:tc>
        <w:tc>
          <w:tcPr>
            <w:tcW w:w="6605" w:type="dxa"/>
            <w:tcBorders>
              <w:top w:val="single" w:sz="4" w:space="0" w:color="auto"/>
              <w:left w:val="dotted" w:sz="4" w:space="0" w:color="auto"/>
              <w:bottom w:val="dotted" w:sz="4" w:space="0" w:color="auto"/>
              <w:right w:val="single" w:sz="4" w:space="0" w:color="auto"/>
            </w:tcBorders>
            <w:hideMark/>
          </w:tcPr>
          <w:p w:rsidR="00363F67" w:rsidRDefault="00363F67">
            <w:pPr>
              <w:pStyle w:val="IQB-Merkmalswert"/>
              <w:rPr>
                <w:rFonts w:cs="Arial"/>
              </w:rPr>
            </w:pPr>
            <w:r>
              <w:rPr>
                <w:rFonts w:cs="Arial"/>
              </w:rPr>
              <w:t>5. Daten und Zufall</w:t>
            </w:r>
          </w:p>
        </w:tc>
      </w:tr>
      <w:tr w:rsidR="00363F67" w:rsidTr="00363F67">
        <w:tc>
          <w:tcPr>
            <w:tcW w:w="2466" w:type="dxa"/>
            <w:tcBorders>
              <w:top w:val="dotted" w:sz="4" w:space="0" w:color="auto"/>
              <w:left w:val="single" w:sz="4" w:space="0" w:color="auto"/>
              <w:bottom w:val="dotted" w:sz="4" w:space="0" w:color="auto"/>
              <w:right w:val="dotted" w:sz="4" w:space="0" w:color="auto"/>
            </w:tcBorders>
            <w:vAlign w:val="center"/>
            <w:hideMark/>
          </w:tcPr>
          <w:p w:rsidR="00363F67" w:rsidRDefault="00363F67">
            <w:pPr>
              <w:pStyle w:val="IQB-Merkmal"/>
              <w:rPr>
                <w:rFonts w:cs="Arial"/>
              </w:rPr>
            </w:pPr>
            <w:r>
              <w:rPr>
                <w:rFonts w:cs="Arial"/>
              </w:rPr>
              <w:t>Allgemeine Kompetenzen</w:t>
            </w:r>
          </w:p>
        </w:tc>
        <w:tc>
          <w:tcPr>
            <w:tcW w:w="6605" w:type="dxa"/>
            <w:tcBorders>
              <w:top w:val="dotted" w:sz="4" w:space="0" w:color="auto"/>
              <w:left w:val="dotted" w:sz="4" w:space="0" w:color="auto"/>
              <w:bottom w:val="dotted" w:sz="4" w:space="0" w:color="auto"/>
              <w:right w:val="single" w:sz="4" w:space="0" w:color="auto"/>
            </w:tcBorders>
            <w:hideMark/>
          </w:tcPr>
          <w:p w:rsidR="00363F67" w:rsidRDefault="00363F67">
            <w:pPr>
              <w:pStyle w:val="IQB-Merkmalswert"/>
              <w:rPr>
                <w:rFonts w:cs="Arial"/>
              </w:rPr>
            </w:pPr>
            <w:r>
              <w:rPr>
                <w:rFonts w:cs="Arial"/>
              </w:rPr>
              <w:t>Mathematische Darstellungen verwenden (K4)</w:t>
            </w:r>
          </w:p>
          <w:p w:rsidR="00363F67" w:rsidRDefault="00363F67">
            <w:pPr>
              <w:pStyle w:val="IQB-Merkmalswert"/>
              <w:rPr>
                <w:rFonts w:cs="Arial"/>
              </w:rPr>
            </w:pPr>
            <w:r>
              <w:rPr>
                <w:rFonts w:cs="Arial"/>
              </w:rPr>
              <w:t>Mathematisch kommunizieren (K6)</w:t>
            </w:r>
          </w:p>
        </w:tc>
      </w:tr>
      <w:tr w:rsidR="00363F67" w:rsidTr="00363F67">
        <w:tc>
          <w:tcPr>
            <w:tcW w:w="2466" w:type="dxa"/>
            <w:tcBorders>
              <w:top w:val="dotted" w:sz="4" w:space="0" w:color="auto"/>
              <w:left w:val="single" w:sz="4" w:space="0" w:color="auto"/>
              <w:bottom w:val="dotted" w:sz="4" w:space="0" w:color="auto"/>
              <w:right w:val="dotted" w:sz="4" w:space="0" w:color="auto"/>
            </w:tcBorders>
            <w:vAlign w:val="center"/>
            <w:hideMark/>
          </w:tcPr>
          <w:p w:rsidR="00363F67" w:rsidRDefault="00363F67">
            <w:pPr>
              <w:pStyle w:val="IQB-Merkmal"/>
              <w:rPr>
                <w:rFonts w:cs="Arial"/>
              </w:rPr>
            </w:pPr>
            <w:r>
              <w:rPr>
                <w:rFonts w:cs="Arial"/>
              </w:rPr>
              <w:t>Anforderungsbereich</w:t>
            </w:r>
          </w:p>
        </w:tc>
        <w:tc>
          <w:tcPr>
            <w:tcW w:w="6605" w:type="dxa"/>
            <w:tcBorders>
              <w:top w:val="dotted" w:sz="4" w:space="0" w:color="auto"/>
              <w:left w:val="dotted" w:sz="4" w:space="0" w:color="auto"/>
              <w:bottom w:val="dotted" w:sz="4" w:space="0" w:color="auto"/>
              <w:right w:val="single" w:sz="4" w:space="0" w:color="auto"/>
            </w:tcBorders>
            <w:hideMark/>
          </w:tcPr>
          <w:p w:rsidR="00363F67" w:rsidRDefault="00363F67">
            <w:pPr>
              <w:pStyle w:val="IQB-Merkmalswert"/>
              <w:rPr>
                <w:rFonts w:cs="Arial"/>
              </w:rPr>
            </w:pPr>
            <w:r>
              <w:rPr>
                <w:rFonts w:cs="Arial"/>
              </w:rPr>
              <w:t>II</w:t>
            </w:r>
          </w:p>
        </w:tc>
      </w:tr>
      <w:tr w:rsidR="00363F67" w:rsidTr="00363F67">
        <w:tc>
          <w:tcPr>
            <w:tcW w:w="2466" w:type="dxa"/>
            <w:tcBorders>
              <w:top w:val="dotted" w:sz="4" w:space="0" w:color="auto"/>
              <w:left w:val="single" w:sz="4" w:space="0" w:color="auto"/>
              <w:bottom w:val="single" w:sz="4" w:space="0" w:color="auto"/>
              <w:right w:val="dotted" w:sz="4" w:space="0" w:color="auto"/>
            </w:tcBorders>
            <w:vAlign w:val="center"/>
            <w:hideMark/>
          </w:tcPr>
          <w:p w:rsidR="00363F67" w:rsidRDefault="00363F67">
            <w:pPr>
              <w:pStyle w:val="IQB-Merkmal"/>
              <w:rPr>
                <w:rFonts w:cs="Arial"/>
              </w:rPr>
            </w:pPr>
            <w:r>
              <w:rPr>
                <w:rFonts w:cs="Arial"/>
              </w:rPr>
              <w:t>Kompetenzstufe</w:t>
            </w:r>
          </w:p>
        </w:tc>
        <w:tc>
          <w:tcPr>
            <w:tcW w:w="6605" w:type="dxa"/>
            <w:tcBorders>
              <w:top w:val="dotted" w:sz="4" w:space="0" w:color="auto"/>
              <w:left w:val="dotted" w:sz="4" w:space="0" w:color="auto"/>
              <w:bottom w:val="single" w:sz="4" w:space="0" w:color="auto"/>
              <w:right w:val="single" w:sz="4" w:space="0" w:color="auto"/>
            </w:tcBorders>
            <w:hideMark/>
          </w:tcPr>
          <w:p w:rsidR="00363F67" w:rsidRDefault="00363F67">
            <w:pPr>
              <w:pStyle w:val="IQB-Merkmalswert"/>
              <w:rPr>
                <w:rFonts w:cs="Arial"/>
              </w:rPr>
            </w:pPr>
            <w:r>
              <w:rPr>
                <w:rFonts w:cs="Arial"/>
              </w:rPr>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63F67" w:rsidTr="00363F67">
        <w:tc>
          <w:tcPr>
            <w:tcW w:w="2466" w:type="dxa"/>
            <w:tcBorders>
              <w:top w:val="single" w:sz="4" w:space="0" w:color="auto"/>
              <w:left w:val="single" w:sz="4" w:space="0" w:color="auto"/>
              <w:bottom w:val="dotted" w:sz="4" w:space="0" w:color="auto"/>
              <w:right w:val="dotted" w:sz="4" w:space="0" w:color="auto"/>
            </w:tcBorders>
            <w:vAlign w:val="center"/>
            <w:hideMark/>
          </w:tcPr>
          <w:p w:rsidR="00363F67" w:rsidRDefault="00363F67">
            <w:pPr>
              <w:pStyle w:val="IQB-Merkmal"/>
              <w:rPr>
                <w:rFonts w:cs="Arial"/>
              </w:rPr>
            </w:pPr>
            <w:r>
              <w:rPr>
                <w:rFonts w:cs="Arial"/>
              </w:rPr>
              <w:t>Leitidee</w:t>
            </w:r>
          </w:p>
        </w:tc>
        <w:tc>
          <w:tcPr>
            <w:tcW w:w="6604" w:type="dxa"/>
            <w:tcBorders>
              <w:top w:val="single" w:sz="4" w:space="0" w:color="auto"/>
              <w:left w:val="dotted" w:sz="4" w:space="0" w:color="auto"/>
              <w:bottom w:val="dotted" w:sz="4" w:space="0" w:color="auto"/>
              <w:right w:val="single" w:sz="4" w:space="0" w:color="auto"/>
            </w:tcBorders>
            <w:hideMark/>
          </w:tcPr>
          <w:p w:rsidR="00363F67" w:rsidRDefault="00363F67">
            <w:pPr>
              <w:pStyle w:val="IQB-Merkmalswert"/>
              <w:rPr>
                <w:rFonts w:cs="Arial"/>
              </w:rPr>
            </w:pPr>
            <w:r>
              <w:rPr>
                <w:rFonts w:cs="Arial"/>
              </w:rPr>
              <w:t>5. Daten und Zufall</w:t>
            </w:r>
          </w:p>
        </w:tc>
      </w:tr>
      <w:tr w:rsidR="00363F67" w:rsidTr="00363F67">
        <w:tc>
          <w:tcPr>
            <w:tcW w:w="2466" w:type="dxa"/>
            <w:tcBorders>
              <w:top w:val="dotted" w:sz="4" w:space="0" w:color="auto"/>
              <w:left w:val="single" w:sz="4" w:space="0" w:color="auto"/>
              <w:bottom w:val="dotted" w:sz="4" w:space="0" w:color="auto"/>
              <w:right w:val="dotted" w:sz="4" w:space="0" w:color="auto"/>
            </w:tcBorders>
            <w:vAlign w:val="center"/>
            <w:hideMark/>
          </w:tcPr>
          <w:p w:rsidR="00363F67" w:rsidRDefault="00363F67">
            <w:pPr>
              <w:pStyle w:val="IQB-Merkmal"/>
              <w:rPr>
                <w:rFonts w:cs="Arial"/>
              </w:rPr>
            </w:pPr>
            <w:r>
              <w:rPr>
                <w:rFonts w:cs="Arial"/>
              </w:rPr>
              <w:t>Allgemeine Kompetenzen</w:t>
            </w:r>
          </w:p>
        </w:tc>
        <w:tc>
          <w:tcPr>
            <w:tcW w:w="6604" w:type="dxa"/>
            <w:tcBorders>
              <w:top w:val="dotted" w:sz="4" w:space="0" w:color="auto"/>
              <w:left w:val="dotted" w:sz="4" w:space="0" w:color="auto"/>
              <w:bottom w:val="dotted" w:sz="4" w:space="0" w:color="auto"/>
              <w:right w:val="single" w:sz="4" w:space="0" w:color="auto"/>
            </w:tcBorders>
            <w:hideMark/>
          </w:tcPr>
          <w:p w:rsidR="00363F67" w:rsidRDefault="00363F67">
            <w:pPr>
              <w:pStyle w:val="IQB-Merkmalswert"/>
              <w:rPr>
                <w:rFonts w:cs="Arial"/>
              </w:rPr>
            </w:pPr>
            <w:r>
              <w:rPr>
                <w:rFonts w:cs="Arial"/>
              </w:rPr>
              <w:t>Probleme mathematisch lösen (K2)</w:t>
            </w:r>
          </w:p>
          <w:p w:rsidR="00363F67" w:rsidRDefault="00363F67">
            <w:pPr>
              <w:pStyle w:val="IQB-Merkmalswert"/>
              <w:rPr>
                <w:rFonts w:cs="Arial"/>
              </w:rPr>
            </w:pPr>
            <w:r>
              <w:rPr>
                <w:rFonts w:cs="Arial"/>
              </w:rPr>
              <w:t>Mathematisch modellieren (K3)</w:t>
            </w:r>
          </w:p>
          <w:p w:rsidR="00363F67" w:rsidRDefault="00363F67">
            <w:pPr>
              <w:pStyle w:val="IQB-Merkmalswert"/>
              <w:rPr>
                <w:rFonts w:cs="Arial"/>
              </w:rPr>
            </w:pPr>
            <w:r>
              <w:rPr>
                <w:rFonts w:cs="Arial"/>
              </w:rPr>
              <w:t>Mathematische Darstellungen verwenden (K4)</w:t>
            </w:r>
          </w:p>
          <w:p w:rsidR="00363F67" w:rsidRDefault="00363F67">
            <w:pPr>
              <w:pStyle w:val="IQB-Merkmalswert"/>
              <w:rPr>
                <w:rFonts w:cs="Arial"/>
              </w:rPr>
            </w:pPr>
            <w:r>
              <w:rPr>
                <w:rFonts w:cs="Arial"/>
              </w:rPr>
              <w:t>Mit symbolischen, formalen und technischen Elementen der Mathematik umgehen (K5)</w:t>
            </w:r>
          </w:p>
        </w:tc>
      </w:tr>
      <w:tr w:rsidR="00363F67" w:rsidTr="00363F67">
        <w:tc>
          <w:tcPr>
            <w:tcW w:w="2466" w:type="dxa"/>
            <w:tcBorders>
              <w:top w:val="dotted" w:sz="4" w:space="0" w:color="auto"/>
              <w:left w:val="single" w:sz="4" w:space="0" w:color="auto"/>
              <w:bottom w:val="dotted" w:sz="4" w:space="0" w:color="auto"/>
              <w:right w:val="dotted" w:sz="4" w:space="0" w:color="auto"/>
            </w:tcBorders>
            <w:vAlign w:val="center"/>
            <w:hideMark/>
          </w:tcPr>
          <w:p w:rsidR="00363F67" w:rsidRDefault="00363F67">
            <w:pPr>
              <w:pStyle w:val="IQB-Merkmal"/>
              <w:rPr>
                <w:rFonts w:cs="Arial"/>
              </w:rPr>
            </w:pPr>
            <w:r>
              <w:rPr>
                <w:rFonts w:cs="Arial"/>
              </w:rPr>
              <w:t>Anforderungsbereich</w:t>
            </w:r>
          </w:p>
        </w:tc>
        <w:tc>
          <w:tcPr>
            <w:tcW w:w="6604" w:type="dxa"/>
            <w:tcBorders>
              <w:top w:val="dotted" w:sz="4" w:space="0" w:color="auto"/>
              <w:left w:val="dotted" w:sz="4" w:space="0" w:color="auto"/>
              <w:bottom w:val="dotted" w:sz="4" w:space="0" w:color="auto"/>
              <w:right w:val="single" w:sz="4" w:space="0" w:color="auto"/>
            </w:tcBorders>
            <w:hideMark/>
          </w:tcPr>
          <w:p w:rsidR="00363F67" w:rsidRDefault="00363F67">
            <w:pPr>
              <w:pStyle w:val="IQB-Merkmalswert"/>
              <w:rPr>
                <w:rFonts w:cs="Arial"/>
              </w:rPr>
            </w:pPr>
            <w:r>
              <w:rPr>
                <w:rFonts w:cs="Arial"/>
              </w:rPr>
              <w:t>II</w:t>
            </w:r>
          </w:p>
        </w:tc>
      </w:tr>
      <w:tr w:rsidR="00363F67" w:rsidTr="00363F67">
        <w:tc>
          <w:tcPr>
            <w:tcW w:w="2466" w:type="dxa"/>
            <w:tcBorders>
              <w:top w:val="dotted" w:sz="4" w:space="0" w:color="auto"/>
              <w:left w:val="single" w:sz="4" w:space="0" w:color="auto"/>
              <w:bottom w:val="single" w:sz="4" w:space="0" w:color="auto"/>
              <w:right w:val="dotted" w:sz="4" w:space="0" w:color="auto"/>
            </w:tcBorders>
            <w:vAlign w:val="center"/>
            <w:hideMark/>
          </w:tcPr>
          <w:p w:rsidR="00363F67" w:rsidRDefault="00363F67">
            <w:pPr>
              <w:pStyle w:val="IQB-Merkmal"/>
              <w:rPr>
                <w:rFonts w:cs="Arial"/>
              </w:rPr>
            </w:pPr>
            <w:r>
              <w:rPr>
                <w:rFonts w:cs="Arial"/>
              </w:rPr>
              <w:t>Kompetenzstufe</w:t>
            </w:r>
          </w:p>
        </w:tc>
        <w:tc>
          <w:tcPr>
            <w:tcW w:w="6604" w:type="dxa"/>
            <w:tcBorders>
              <w:top w:val="dotted" w:sz="4" w:space="0" w:color="auto"/>
              <w:left w:val="dotted" w:sz="4" w:space="0" w:color="auto"/>
              <w:bottom w:val="single" w:sz="4" w:space="0" w:color="auto"/>
              <w:right w:val="single" w:sz="4" w:space="0" w:color="auto"/>
            </w:tcBorders>
            <w:hideMark/>
          </w:tcPr>
          <w:p w:rsidR="00363F67" w:rsidRDefault="00363F67">
            <w:pPr>
              <w:pStyle w:val="IQB-Merkmalswert"/>
              <w:rPr>
                <w:rFonts w:cs="Arial"/>
              </w:rPr>
            </w:pPr>
            <w:r>
              <w:rPr>
                <w:rFonts w:cs="Arial"/>
              </w:rPr>
              <w:t>5</w:t>
            </w:r>
          </w:p>
        </w:tc>
      </w:tr>
    </w:tbl>
    <w:p w:rsidR="00694A63" w:rsidRPr="00694A63" w:rsidRDefault="00694A63" w:rsidP="00694A63">
      <w:pPr>
        <w:pStyle w:val="IQB-Teilaufgabentitel"/>
        <w:rPr>
          <w:b/>
        </w:rPr>
      </w:pPr>
      <w:r w:rsidRPr="00694A63">
        <w:rPr>
          <w:b/>
        </w:rPr>
        <w:t>Aufgabenbezogener Kommentar</w:t>
      </w:r>
    </w:p>
    <w:p w:rsidR="00363F67" w:rsidRDefault="00363F67" w:rsidP="00363F67">
      <w:pPr>
        <w:pStyle w:val="IQB-AnweisungenText"/>
        <w:spacing w:before="0"/>
        <w:rPr>
          <w:rFonts w:ascii="Arial" w:hAnsi="Arial"/>
          <w:sz w:val="22"/>
          <w:szCs w:val="22"/>
        </w:rPr>
      </w:pPr>
      <w:r>
        <w:rPr>
          <w:rFonts w:ascii="Arial" w:hAnsi="Arial"/>
          <w:sz w:val="22"/>
          <w:szCs w:val="22"/>
        </w:rPr>
        <w:t xml:space="preserve">Die Aufgabe ist der Leitidee </w:t>
      </w:r>
      <w:r>
        <w:rPr>
          <w:rFonts w:ascii="Arial" w:hAnsi="Arial"/>
          <w:i/>
          <w:sz w:val="22"/>
          <w:szCs w:val="22"/>
        </w:rPr>
        <w:t>Daten und Zufall</w:t>
      </w:r>
      <w:r>
        <w:rPr>
          <w:rFonts w:ascii="Arial" w:hAnsi="Arial"/>
          <w:sz w:val="22"/>
          <w:szCs w:val="22"/>
        </w:rPr>
        <w:t xml:space="preserve"> (L5) zugeordnet, da Schülerinnen und Schüler Zufallserscheinungen beschreiben und Wahrscheinlichkeiten in Zufallsexperimenten bestimmen.</w:t>
      </w:r>
    </w:p>
    <w:p w:rsidR="00363F67" w:rsidRDefault="00363F67" w:rsidP="00363F67">
      <w:pPr>
        <w:pStyle w:val="IQB-AnweisungenText"/>
        <w:rPr>
          <w:rFonts w:ascii="Arial" w:hAnsi="Arial"/>
          <w:sz w:val="22"/>
          <w:szCs w:val="22"/>
        </w:rPr>
      </w:pPr>
      <w:r>
        <w:rPr>
          <w:rFonts w:ascii="Arial" w:hAnsi="Arial"/>
          <w:sz w:val="22"/>
          <w:szCs w:val="22"/>
        </w:rPr>
        <w:t xml:space="preserve">In Teilaufgabe 1 müssen die Abbildungen der Würfel verglichen und interpretiert werden, sodass die Kompetenz </w:t>
      </w:r>
      <w:r>
        <w:rPr>
          <w:rFonts w:ascii="Arial" w:hAnsi="Arial"/>
          <w:i/>
          <w:sz w:val="22"/>
          <w:szCs w:val="22"/>
        </w:rPr>
        <w:t>Mathematische Darstellungen verwenden</w:t>
      </w:r>
      <w:r>
        <w:rPr>
          <w:rFonts w:ascii="Arial" w:hAnsi="Arial"/>
          <w:sz w:val="22"/>
          <w:szCs w:val="22"/>
        </w:rPr>
        <w:t xml:space="preserve"> (K4) gefordert ist. Außerdem gehört zu dieser Teilaufgabe die Kompetenz </w:t>
      </w:r>
      <w:r>
        <w:rPr>
          <w:rFonts w:ascii="Arial" w:hAnsi="Arial"/>
          <w:i/>
          <w:sz w:val="22"/>
          <w:szCs w:val="22"/>
        </w:rPr>
        <w:t>Mathematisch kommunizieren</w:t>
      </w:r>
      <w:r>
        <w:rPr>
          <w:rFonts w:ascii="Arial" w:hAnsi="Arial"/>
          <w:sz w:val="22"/>
          <w:szCs w:val="22"/>
        </w:rPr>
        <w:t xml:space="preserve"> (K6), da zunächst Informationen aus dem Text über die Art der Winkelwürfel entnommen werden müssen, um die Aufgabe zu bearbeiten.</w:t>
      </w:r>
    </w:p>
    <w:p w:rsidR="00363F67" w:rsidRDefault="00363F67" w:rsidP="00363F67">
      <w:pPr>
        <w:pStyle w:val="IQB-AnweisungenText"/>
        <w:rPr>
          <w:rFonts w:ascii="Arial" w:hAnsi="Arial"/>
          <w:sz w:val="22"/>
          <w:szCs w:val="22"/>
        </w:rPr>
      </w:pPr>
      <w:r>
        <w:rPr>
          <w:rFonts w:ascii="Arial" w:hAnsi="Arial"/>
          <w:sz w:val="22"/>
          <w:szCs w:val="22"/>
        </w:rPr>
        <w:t>Für Teilaufgabe 2 gehen Schülerinnen und Schüler ebenfalls mit mathematischen Darstellungen um (K4), da die Tabelle Informationen enthält, die zur Bearbeitung der Aufgabe ergänzt werden sollen. Zusätzlich muss eine Strategie entwickelt werden, um die</w:t>
      </w:r>
      <w:r>
        <w:rPr>
          <w:rFonts w:ascii="Arial" w:hAnsi="Arial"/>
          <w:sz w:val="22"/>
          <w:szCs w:val="22"/>
        </w:rPr>
        <w:t xml:space="preserve"> </w:t>
      </w:r>
      <w:r>
        <w:rPr>
          <w:rFonts w:ascii="Arial" w:hAnsi="Arial"/>
          <w:sz w:val="22"/>
          <w:szCs w:val="22"/>
        </w:rPr>
        <w:t xml:space="preserve">Wahrscheinlichkeiten der einzelnen Ergebnisse zu bestimmen. Aufgrund dieser Strategiefindung ist die Kompetenz </w:t>
      </w:r>
      <w:r>
        <w:rPr>
          <w:rFonts w:ascii="Arial" w:hAnsi="Arial"/>
          <w:i/>
          <w:sz w:val="22"/>
          <w:szCs w:val="22"/>
        </w:rPr>
        <w:t>Probleme mathematisch lösen</w:t>
      </w:r>
      <w:r>
        <w:rPr>
          <w:rFonts w:ascii="Arial" w:hAnsi="Arial"/>
          <w:sz w:val="22"/>
          <w:szCs w:val="22"/>
        </w:rPr>
        <w:t xml:space="preserve"> (K2) notwendig. In der Teilaufgabe spielt außerdem das mathematische Modellieren (K3) eine Rolle, weil Ergebnisse einer realen Situation mithilfe von Mathematik interpretiert werden. Zur Berechnung der einzelnen</w:t>
      </w:r>
      <w:r>
        <w:rPr>
          <w:rFonts w:ascii="Arial" w:hAnsi="Arial"/>
          <w:sz w:val="22"/>
          <w:szCs w:val="22"/>
        </w:rPr>
        <w:t xml:space="preserve"> </w:t>
      </w:r>
      <w:r>
        <w:rPr>
          <w:rFonts w:ascii="Arial" w:hAnsi="Arial"/>
          <w:sz w:val="22"/>
          <w:szCs w:val="22"/>
        </w:rPr>
        <w:t xml:space="preserve">Wahrscheinlichkeiten ist zudem die Kompetenz </w:t>
      </w:r>
      <w:r>
        <w:rPr>
          <w:rFonts w:ascii="Arial" w:hAnsi="Arial"/>
          <w:i/>
          <w:sz w:val="22"/>
          <w:szCs w:val="22"/>
        </w:rPr>
        <w:t>Mit symbolischen, formalen und technischen Elementen der Mathematik umgehen</w:t>
      </w:r>
      <w:r>
        <w:rPr>
          <w:rFonts w:ascii="Arial" w:hAnsi="Arial"/>
          <w:sz w:val="22"/>
          <w:szCs w:val="22"/>
        </w:rPr>
        <w:t xml:space="preserve"> (K5) wichtig.</w:t>
      </w:r>
    </w:p>
    <w:p w:rsidR="00363F67" w:rsidRDefault="00363F67" w:rsidP="00363F67">
      <w:pPr>
        <w:pStyle w:val="IQB-AnweisungenText"/>
        <w:rPr>
          <w:rFonts w:ascii="Arial" w:hAnsi="Arial"/>
          <w:sz w:val="22"/>
          <w:szCs w:val="22"/>
        </w:rPr>
      </w:pPr>
      <w:r>
        <w:rPr>
          <w:rFonts w:ascii="Arial" w:hAnsi="Arial"/>
          <w:sz w:val="22"/>
          <w:szCs w:val="22"/>
        </w:rPr>
        <w:t>Die gesamte Aufgabe ist dem Anforderungsbereich II zugeordnet. Dies ist dadurch begründet, dass in beiden Teilaufgaben gefordert ist, die entsprechende Darstellungsform verständig zu interpretieren bzw. zu ergänzen. Teilaufgabe 1 gehört auch deshalb in den Anforderungsbereich II, weil Informationen aus einem Text selektiert werden müssen und die Bilder der Winkelwürfel nicht unbedingt einen einfachen Sachverhalt darstellen. Für Teilaufgabe 2 ist das Finden eines Lösungswegs für die Ergänzung der Tabelle notwendig. Dies rechtfertigt ebenfalls den Anforderungsbereich II, da es sich nicht um eine unmittelbar naheliegende Strategie handelt (Anforderungsbereich I), sie aber wiederum nicht so komplex ist, dass man von einem Anforderungsbereich III sprechen kann.</w:t>
      </w:r>
    </w:p>
    <w:p w:rsidR="00694A63" w:rsidRPr="00694A63" w:rsidRDefault="00694A63" w:rsidP="00694A63">
      <w:pPr>
        <w:pStyle w:val="IQB-Teilaufgabentitel"/>
        <w:rPr>
          <w:b/>
        </w:rPr>
      </w:pPr>
      <w:r w:rsidRPr="00694A63">
        <w:rPr>
          <w:b/>
        </w:rPr>
        <w:lastRenderedPageBreak/>
        <w:t>Anregungen für den Unterricht</w:t>
      </w:r>
    </w:p>
    <w:p w:rsidR="00363F67" w:rsidRDefault="00363F67" w:rsidP="00363F67">
      <w:pPr>
        <w:pStyle w:val="IQB-AnweisungenText"/>
        <w:spacing w:before="0"/>
        <w:rPr>
          <w:rFonts w:ascii="Arial" w:hAnsi="Arial"/>
          <w:sz w:val="22"/>
          <w:szCs w:val="22"/>
        </w:rPr>
      </w:pPr>
      <w:r>
        <w:rPr>
          <w:rFonts w:ascii="Arial" w:hAnsi="Arial"/>
          <w:sz w:val="22"/>
          <w:szCs w:val="22"/>
        </w:rPr>
        <w:t>Die für die Aufgabe verwendeten Winkelwürfel erinnern an Riemer und die nach ihm benannten Riemer-Würfel</w:t>
      </w:r>
      <w:r>
        <w:rPr>
          <w:rStyle w:val="Funotenzeichen"/>
          <w:sz w:val="22"/>
        </w:rPr>
        <w:footnoteReference w:id="1"/>
      </w:r>
      <w:r>
        <w:rPr>
          <w:rFonts w:ascii="Arial" w:hAnsi="Arial"/>
          <w:sz w:val="22"/>
          <w:szCs w:val="22"/>
        </w:rPr>
        <w:t>. So lässt sich ausgehend von der Aufgabe „Winkelwürfel“ im Unterricht mit echten Winkelwürfeln ein wie in den Teilaufgaben angedeutetes</w:t>
      </w:r>
      <w:r>
        <w:rPr>
          <w:rFonts w:ascii="Arial" w:hAnsi="Arial"/>
          <w:sz w:val="22"/>
          <w:szCs w:val="22"/>
        </w:rPr>
        <w:t xml:space="preserve"> </w:t>
      </w:r>
      <w:r>
        <w:rPr>
          <w:rFonts w:ascii="Arial" w:hAnsi="Arial"/>
          <w:sz w:val="22"/>
          <w:szCs w:val="22"/>
        </w:rPr>
        <w:t xml:space="preserve">Unterrichtsvorhaben realisieren. Dieses Unterrichtsvorhaben soll nach Riemer dazu beitragen, dass Schülerinnen und Schüler einen Wahrscheinlichkeitsbegriff erwerben, der sowohl den Laplace’schen als auch den </w:t>
      </w:r>
      <w:proofErr w:type="spellStart"/>
      <w:r>
        <w:rPr>
          <w:rFonts w:ascii="Arial" w:hAnsi="Arial"/>
          <w:sz w:val="22"/>
          <w:szCs w:val="22"/>
        </w:rPr>
        <w:t>frequentistischen</w:t>
      </w:r>
      <w:proofErr w:type="spellEnd"/>
      <w:r>
        <w:rPr>
          <w:rFonts w:ascii="Arial" w:hAnsi="Arial"/>
          <w:sz w:val="22"/>
          <w:szCs w:val="22"/>
        </w:rPr>
        <w:t xml:space="preserve"> Wahrscheinlichkeitsbegriff umfasst. Riemer weist darauf hin, dass bei der ausschließlichen Verwendung von völlig symmetrischen Objekten wie Würfel, Münzen oder Glücksrädern der falsche Eindruck entstehen könnte, dass sich Wahrscheinlichkeiten stets genau bestimmen ließen (Laplace’sche Wahrscheinlichkeit). Andererseits, bei der Beschränkung auf völlig unsymmetrische Objekte wie Reißnägel oder Knöpfe, muss die Wahrscheinlichkeit eines Ereignisses stets als relative Häufigkeit interpretiert werden, mit der es in einer großen Anzahl gleicher, wiederholter, voneinander unabhängiger Zufallsexperimente eintritt (</w:t>
      </w:r>
      <w:proofErr w:type="spellStart"/>
      <w:r>
        <w:rPr>
          <w:rFonts w:ascii="Arial" w:hAnsi="Arial"/>
          <w:sz w:val="22"/>
          <w:szCs w:val="22"/>
        </w:rPr>
        <w:t>frequentistische</w:t>
      </w:r>
      <w:proofErr w:type="spellEnd"/>
      <w:r>
        <w:rPr>
          <w:rFonts w:ascii="Arial" w:hAnsi="Arial"/>
          <w:sz w:val="22"/>
          <w:szCs w:val="22"/>
        </w:rPr>
        <w:t xml:space="preserve"> Wahrscheinlichkeit). Würde ausschließlich die </w:t>
      </w:r>
      <w:proofErr w:type="spellStart"/>
      <w:r>
        <w:rPr>
          <w:rFonts w:ascii="Arial" w:hAnsi="Arial"/>
          <w:sz w:val="22"/>
          <w:szCs w:val="22"/>
        </w:rPr>
        <w:t>frequentistische</w:t>
      </w:r>
      <w:proofErr w:type="spellEnd"/>
      <w:r>
        <w:rPr>
          <w:rFonts w:ascii="Arial" w:hAnsi="Arial"/>
          <w:sz w:val="22"/>
          <w:szCs w:val="22"/>
        </w:rPr>
        <w:t xml:space="preserve"> Wahrscheinlichkeit im Unterricht behandelt, so könnten Schülerinnen und Schüler glauben, dass vor solchen Zufallsexperimenten keine Aussagen über zu erwartende Wahrscheinlichkeiten sinnvoll getätigt werden können.</w:t>
      </w:r>
    </w:p>
    <w:p w:rsidR="00363F67" w:rsidRDefault="00363F67" w:rsidP="00363F67">
      <w:pPr>
        <w:pStyle w:val="IQB-AnweisungenText"/>
        <w:rPr>
          <w:rFonts w:ascii="Arial" w:hAnsi="Arial"/>
          <w:sz w:val="22"/>
          <w:szCs w:val="22"/>
        </w:rPr>
      </w:pPr>
      <w:r>
        <w:rPr>
          <w:rFonts w:ascii="Arial" w:hAnsi="Arial"/>
          <w:sz w:val="22"/>
          <w:szCs w:val="22"/>
        </w:rPr>
        <w:t>Riemer geht davon aus, dass mit seinen teilweise symmetrischen Würfeln beide Vorstellungen entwickelt und vertieft werden können. Die Würfel erlauben es nämlich zum einen, schon vor jedem Versuch Prognosen über relative Häufigkeiten zu machen. Zum anderen können im Anschluss daran diese Prognose durch Versuche überprüft werden.</w:t>
      </w:r>
    </w:p>
    <w:p w:rsidR="00363F67" w:rsidRDefault="00363F67" w:rsidP="00363F67">
      <w:pPr>
        <w:pStyle w:val="IQB-AnweisungenText"/>
        <w:rPr>
          <w:rFonts w:ascii="Arial" w:hAnsi="Arial"/>
          <w:sz w:val="22"/>
          <w:szCs w:val="22"/>
        </w:rPr>
      </w:pPr>
      <w:r>
        <w:rPr>
          <w:rFonts w:ascii="Arial" w:hAnsi="Arial"/>
          <w:sz w:val="22"/>
          <w:szCs w:val="22"/>
        </w:rPr>
        <w:t xml:space="preserve">Arbeitet man im Unterricht zudem mit verschiedenen Varianten von Riemer-Würfeln, so können weitere Hypothesen getestet werden. Solche Hypothesen können wie folgt lauten: </w:t>
      </w:r>
    </w:p>
    <w:p w:rsidR="00363F67" w:rsidRDefault="00363F67" w:rsidP="00363F67">
      <w:pPr>
        <w:pStyle w:val="IQB-AnweisungenText"/>
        <w:rPr>
          <w:rFonts w:ascii="Arial" w:hAnsi="Arial"/>
          <w:sz w:val="22"/>
          <w:szCs w:val="22"/>
        </w:rPr>
      </w:pPr>
      <w:r>
        <w:rPr>
          <w:rFonts w:ascii="Arial" w:hAnsi="Arial"/>
          <w:sz w:val="22"/>
          <w:szCs w:val="22"/>
        </w:rPr>
        <w:t>(1) Je größer die Auflagefläche einer Lage desto „wahrscheinlicher“ ist diese Lage. Der Quotient zweier Wahrscheinlichkeiten ist gleich dem Quotient aus dem Flächeninhalt zweier Auflageflächen. (2) Je höher der Schwerpunkt desto „unwahrscheinlicher“ ist diese Lage. Der Quotient zweier Wahrscheinlichkeiten gleicht dem Kehrwert aus dem Quotient der Höhe der Schwerpunkte. Wie Riemer zeigen konnte, liefert eine Mischung aus beiden Annahmen sehr gute Voraussagen.</w:t>
      </w:r>
    </w:p>
    <w:p w:rsidR="00694A63" w:rsidRPr="0037174F" w:rsidRDefault="00694A63" w:rsidP="00363F67">
      <w:pPr>
        <w:pStyle w:val="IQB-AnweisungenText"/>
        <w:spacing w:before="0"/>
        <w:rPr>
          <w:b/>
        </w:rPr>
      </w:pPr>
      <w:bookmarkStart w:id="0" w:name="_GoBack"/>
      <w:bookmarkEnd w:id="0"/>
    </w:p>
    <w:sectPr w:rsidR="00694A63" w:rsidRPr="0037174F"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86091040-4891-451D-BA0D-F3CFC2CDF950}"/>
    <w:embedBold r:id="rId2" w:fontKey="{90BBC776-61D1-4C0C-A655-0DA790009191}"/>
    <w:embedItalic r:id="rId3" w:fontKey="{F9E319D8-3094-4D97-B6AD-AA2ACDC1C75E}"/>
    <w:embedBoldItalic r:id="rId4" w:fontKey="{A6392F61-43FC-4A76-8538-3FC3E4E69351}"/>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 w:id="1">
    <w:p w:rsidR="00363F67" w:rsidRDefault="00363F67" w:rsidP="00363F67">
      <w:pPr>
        <w:pStyle w:val="Funotentext"/>
      </w:pPr>
      <w:r>
        <w:rPr>
          <w:rStyle w:val="Funotenzeichen"/>
        </w:rPr>
        <w:footnoteRef/>
      </w:r>
      <w:r>
        <w:t xml:space="preserve"> </w:t>
      </w:r>
      <w:r>
        <w:rPr>
          <w:color w:val="000000"/>
        </w:rPr>
        <w:t xml:space="preserve">Riemer, W. (1988). Riemer-Würfel. Spannende und lehrreiche Experimente mit ungewöhnlichen Objekten, Stuttgart: Klett (online: </w:t>
      </w:r>
      <w:hyperlink r:id="rId1" w:history="1">
        <w:r w:rsidRPr="00363F67">
          <w:rPr>
            <w:rStyle w:val="Hyperlink"/>
            <w:color w:val="000000"/>
            <w:u w:val="none"/>
          </w:rPr>
          <w:t>http://www.riemer-koeln.de/mathematik/quader/riemer-wuerfel-klett.pdf</w:t>
        </w:r>
      </w:hyperlink>
      <w:r>
        <w:rPr>
          <w:color w:val="00000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0F54"/>
    <w:rsid w:val="0021671D"/>
    <w:rsid w:val="00220FFD"/>
    <w:rsid w:val="002265B7"/>
    <w:rsid w:val="00226C04"/>
    <w:rsid w:val="00255EFD"/>
    <w:rsid w:val="0026784F"/>
    <w:rsid w:val="00274614"/>
    <w:rsid w:val="00296BA4"/>
    <w:rsid w:val="002D1B6E"/>
    <w:rsid w:val="002F756E"/>
    <w:rsid w:val="00304067"/>
    <w:rsid w:val="00304DCD"/>
    <w:rsid w:val="00322872"/>
    <w:rsid w:val="003375B2"/>
    <w:rsid w:val="00363F67"/>
    <w:rsid w:val="0037174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C077E"/>
    <w:rsid w:val="00DD3C5F"/>
    <w:rsid w:val="00DE1076"/>
    <w:rsid w:val="00DE3D52"/>
    <w:rsid w:val="00DF532B"/>
    <w:rsid w:val="00EA71E2"/>
    <w:rsid w:val="00EC34A6"/>
    <w:rsid w:val="00ED2D11"/>
    <w:rsid w:val="00F0154F"/>
    <w:rsid w:val="00F26733"/>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0353"/>
    <o:shapelayout v:ext="edit">
      <o:idmap v:ext="edit" data="1"/>
    </o:shapelayout>
  </w:shapeDefaults>
  <w:decimalSymbol w:val=","/>
  <w:listSeparator w:val=";"/>
  <w14:docId w14:val="63837188"/>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Hyperlink">
    <w:name w:val="Hyperlink"/>
    <w:uiPriority w:val="99"/>
    <w:unhideWhenUsed/>
    <w:rsid w:val="00DC077E"/>
    <w:rPr>
      <w:color w:val="0000FF"/>
      <w:u w:val="single"/>
    </w:rPr>
  </w:style>
  <w:style w:type="paragraph" w:styleId="Funotentext">
    <w:name w:val="footnote text"/>
    <w:basedOn w:val="Standard"/>
    <w:link w:val="FunotentextZchn"/>
    <w:rsid w:val="00DC077E"/>
    <w:rPr>
      <w:rFonts w:ascii="Arial" w:hAnsi="Arial"/>
      <w:sz w:val="20"/>
      <w:szCs w:val="20"/>
      <w:lang w:val="x-none" w:eastAsia="x-none"/>
    </w:rPr>
  </w:style>
  <w:style w:type="character" w:customStyle="1" w:styleId="FunotentextZchn">
    <w:name w:val="Fußnotentext Zchn"/>
    <w:basedOn w:val="Absatz-Standardschriftart"/>
    <w:link w:val="Funotentext"/>
    <w:rsid w:val="00DC077E"/>
    <w:rPr>
      <w:rFonts w:ascii="Arial" w:hAnsi="Arial"/>
      <w:lang w:val="x-none" w:eastAsia="x-none"/>
    </w:rPr>
  </w:style>
  <w:style w:type="character" w:styleId="Funotenzeichen">
    <w:name w:val="footnote reference"/>
    <w:rsid w:val="00DC077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5452518">
      <w:bodyDiv w:val="1"/>
      <w:marLeft w:val="0"/>
      <w:marRight w:val="0"/>
      <w:marTop w:val="0"/>
      <w:marBottom w:val="0"/>
      <w:divBdr>
        <w:top w:val="none" w:sz="0" w:space="0" w:color="auto"/>
        <w:left w:val="none" w:sz="0" w:space="0" w:color="auto"/>
        <w:bottom w:val="none" w:sz="0" w:space="0" w:color="auto"/>
        <w:right w:val="none" w:sz="0" w:space="0" w:color="auto"/>
      </w:divBdr>
    </w:div>
    <w:div w:id="414476348">
      <w:bodyDiv w:val="1"/>
      <w:marLeft w:val="0"/>
      <w:marRight w:val="0"/>
      <w:marTop w:val="0"/>
      <w:marBottom w:val="0"/>
      <w:divBdr>
        <w:top w:val="none" w:sz="0" w:space="0" w:color="auto"/>
        <w:left w:val="none" w:sz="0" w:space="0" w:color="auto"/>
        <w:bottom w:val="none" w:sz="0" w:space="0" w:color="auto"/>
        <w:right w:val="none" w:sz="0" w:space="0" w:color="auto"/>
      </w:divBdr>
    </w:div>
    <w:div w:id="454254755">
      <w:bodyDiv w:val="1"/>
      <w:marLeft w:val="0"/>
      <w:marRight w:val="0"/>
      <w:marTop w:val="0"/>
      <w:marBottom w:val="0"/>
      <w:divBdr>
        <w:top w:val="none" w:sz="0" w:space="0" w:color="auto"/>
        <w:left w:val="none" w:sz="0" w:space="0" w:color="auto"/>
        <w:bottom w:val="none" w:sz="0" w:space="0" w:color="auto"/>
        <w:right w:val="none" w:sz="0" w:space="0" w:color="auto"/>
      </w:divBdr>
    </w:div>
    <w:div w:id="678654926">
      <w:bodyDiv w:val="1"/>
      <w:marLeft w:val="0"/>
      <w:marRight w:val="0"/>
      <w:marTop w:val="0"/>
      <w:marBottom w:val="0"/>
      <w:divBdr>
        <w:top w:val="none" w:sz="0" w:space="0" w:color="auto"/>
        <w:left w:val="none" w:sz="0" w:space="0" w:color="auto"/>
        <w:bottom w:val="none" w:sz="0" w:space="0" w:color="auto"/>
        <w:right w:val="none" w:sz="0" w:space="0" w:color="auto"/>
      </w:divBdr>
    </w:div>
    <w:div w:id="968785707">
      <w:bodyDiv w:val="1"/>
      <w:marLeft w:val="0"/>
      <w:marRight w:val="0"/>
      <w:marTop w:val="0"/>
      <w:marBottom w:val="0"/>
      <w:divBdr>
        <w:top w:val="none" w:sz="0" w:space="0" w:color="auto"/>
        <w:left w:val="none" w:sz="0" w:space="0" w:color="auto"/>
        <w:bottom w:val="none" w:sz="0" w:space="0" w:color="auto"/>
        <w:right w:val="none" w:sz="0" w:space="0" w:color="auto"/>
      </w:divBdr>
    </w:div>
    <w:div w:id="1527602785">
      <w:bodyDiv w:val="1"/>
      <w:marLeft w:val="0"/>
      <w:marRight w:val="0"/>
      <w:marTop w:val="0"/>
      <w:marBottom w:val="0"/>
      <w:divBdr>
        <w:top w:val="none" w:sz="0" w:space="0" w:color="auto"/>
        <w:left w:val="none" w:sz="0" w:space="0" w:color="auto"/>
        <w:bottom w:val="none" w:sz="0" w:space="0" w:color="auto"/>
        <w:right w:val="none" w:sz="0" w:space="0" w:color="auto"/>
      </w:divBdr>
    </w:div>
    <w:div w:id="1866868000">
      <w:bodyDiv w:val="1"/>
      <w:marLeft w:val="0"/>
      <w:marRight w:val="0"/>
      <w:marTop w:val="0"/>
      <w:marBottom w:val="0"/>
      <w:divBdr>
        <w:top w:val="none" w:sz="0" w:space="0" w:color="auto"/>
        <w:left w:val="none" w:sz="0" w:space="0" w:color="auto"/>
        <w:bottom w:val="none" w:sz="0" w:space="0" w:color="auto"/>
        <w:right w:val="none" w:sz="0" w:space="0" w:color="auto"/>
      </w:divBdr>
    </w:div>
    <w:div w:id="2034652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www.riemer-koeln.de/mathematik/quader/riemer-wuerfel-klett.pdf"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D592B9-3465-4064-ABA0-E0A86EC431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621</Words>
  <Characters>4387</Characters>
  <Application>Microsoft Office Word</Application>
  <DocSecurity>0</DocSecurity>
  <Lines>89</Lines>
  <Paragraphs>50</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2025-07-21T11:00:00Z</dcterms:created>
  <dcterms:modified xsi:type="dcterms:W3CDTF">2025-07-21T11:00:00Z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